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B2A4A"/>
          <w:sz w:val="18"/>
        </w:rPr>
        <w:t>AVINA WELLNESS LLC</w:t>
      </w:r>
    </w:p>
    <w:p>
      <w:pPr>
        <w:jc w:val="center"/>
      </w:pPr>
      <w:r>
        <w:rPr>
          <w:i/>
          <w:color w:val="666666"/>
          <w:sz w:val="20"/>
        </w:rPr>
        <w:t>Curated Support for Intentional Living</w:t>
      </w:r>
    </w:p>
    <w:p/>
    <w:p>
      <w:pPr>
        <w:jc w:val="center"/>
      </w:pPr>
      <w:r>
        <w:rPr>
          <w:b/>
          <w:color w:val="1B2A4A"/>
          <w:sz w:val="32"/>
        </w:rPr>
        <w:t>CLIENT SERVICES AGREEMENT</w:t>
      </w:r>
    </w:p>
    <w:p>
      <w:pPr>
        <w:jc w:val="center"/>
      </w:pPr>
      <w:r>
        <w:rPr>
          <w:i/>
          <w:color w:val="666666"/>
          <w:sz w:val="20"/>
        </w:rPr>
        <w:t>CLIENT B — THIRD-PARTY FUNDED</w:t>
      </w:r>
    </w:p>
    <w:p/>
    <w:p>
      <w:r>
        <w:rPr>
          <w:b/>
        </w:rPr>
        <w:t>Effective Date: May 1, 2026</w:t>
      </w:r>
    </w:p>
    <w:p>
      <w:r>
        <w:rPr>
          <w:b/>
        </w:rPr>
        <w:t>SERVICE PROVIDER:</w:t>
      </w:r>
    </w:p>
    <w:p>
      <w:r>
        <w:rPr>
          <w:b w:val="0"/>
          <w:i w:val="0"/>
        </w:rPr>
        <w:t>Avina Wellness LLC</w:t>
      </w:r>
    </w:p>
    <w:p>
      <w:r>
        <w:rPr>
          <w:b w:val="0"/>
          <w:i w:val="0"/>
        </w:rPr>
        <w:t>Phone: 310-800-1160</w:t>
      </w:r>
    </w:p>
    <w:p>
      <w:r>
        <w:rPr>
          <w:b w:val="0"/>
          <w:i w:val="0"/>
        </w:rPr>
        <w:t>Email: Kelly@AvinaWellness.com</w:t>
      </w:r>
    </w:p>
    <w:p>
      <w:r>
        <w:rPr>
          <w:b/>
        </w:rPr>
        <w:t>CLIENT:</w:t>
      </w:r>
    </w:p>
    <w:p>
      <w:r>
        <w:rPr>
          <w:b w:val="0"/>
          <w:i w:val="0"/>
        </w:rPr>
        <w:t>Name: _________________________________________</w:t>
      </w:r>
    </w:p>
    <w:p>
      <w:r>
        <w:rPr>
          <w:b w:val="0"/>
          <w:i w:val="0"/>
        </w:rPr>
        <w:t>Address: _______________________________________</w:t>
      </w:r>
    </w:p>
    <w:p>
      <w:r>
        <w:rPr>
          <w:b w:val="0"/>
          <w:i w:val="0"/>
        </w:rPr>
        <w:t>Phone: _________________  Email: _________________</w:t>
      </w:r>
    </w:p>
    <w:p>
      <w:r>
        <w:rPr>
          <w:b/>
        </w:rPr>
        <w:t>THIRD-PARTY PAYOR ACKNOWLEDGMENT</w:t>
      </w:r>
    </w:p>
    <w:p>
      <w:r>
        <w:rPr>
          <w:b w:val="0"/>
          <w:i w:val="0"/>
        </w:rPr>
        <w:t>Client acknowledges that a third party (“Payor”) has agreed to fund services under a separate Third-Party Payor Agreement. Client understands that the Payor’s financial support does not grant the Payor any authority over Client’s care, access to Client’s information, or right to direct services.</w:t>
      </w:r>
    </w:p>
    <w:p>
      <w:pPr>
        <w:pStyle w:val="Heading2"/>
      </w:pPr>
      <w:r>
        <w:t>I. NATURE OF SERVICES</w:t>
      </w:r>
    </w:p>
    <w:p>
      <w:r>
        <w:rPr>
          <w:b w:val="0"/>
          <w:i w:val="0"/>
        </w:rPr>
        <w:t>Avina Wellness LLC provides non-clinical, wellness-focused support services under California Business &amp; Professions Code Section 2903. Services are designed to provide practical, life-supportive coaching and care coordination—not to replace clinical therapy or medical treatment.</w:t>
      </w:r>
    </w:p>
    <w:p>
      <w:pPr>
        <w:pStyle w:val="Heading2"/>
      </w:pPr>
      <w:r>
        <w:t>II. SERVICE CATEGORIES</w:t>
      </w:r>
    </w:p>
    <w:p>
      <w:pPr>
        <w:pStyle w:val="ListBullet"/>
      </w:pPr>
      <w:r>
        <w:t>Stabilization Support: Daily check-ins, accountability, and grounding support.</w:t>
      </w:r>
    </w:p>
    <w:p>
      <w:pPr>
        <w:pStyle w:val="ListBullet"/>
      </w:pPr>
      <w:r>
        <w:t>Crisis-Supportive Services: Non-clinical emotional support during challenging periods (not crisis intervention or emergency mental health services).</w:t>
      </w:r>
    </w:p>
    <w:p>
      <w:pPr>
        <w:pStyle w:val="ListBullet"/>
      </w:pPr>
      <w:r>
        <w:t>Treatment Planning Support: Assisting with goal-setting and coordination with clinical providers.</w:t>
      </w:r>
    </w:p>
    <w:p>
      <w:pPr>
        <w:pStyle w:val="ListBullet"/>
      </w:pPr>
      <w:r>
        <w:t>Family &amp; Relational Coaching: Communication support and relational guidance.</w:t>
      </w:r>
    </w:p>
    <w:p>
      <w:pPr>
        <w:pStyle w:val="ListBullet"/>
      </w:pPr>
      <w:r>
        <w:t>Case Coordination: Communication with third parties (therapist, psychiatrist, housing) to facilitate integrated care.</w:t>
      </w:r>
    </w:p>
    <w:p>
      <w:pPr>
        <w:pStyle w:val="ListBullet"/>
      </w:pPr>
      <w:r>
        <w:t>Companion &amp; Travel Support: In-person companionship and travel accompaniment.</w:t>
      </w:r>
    </w:p>
    <w:p>
      <w:r>
        <w:rPr>
          <w:b/>
        </w:rPr>
        <w:t>Services NOT Provided</w:t>
      </w:r>
    </w:p>
    <w:p>
      <w:pPr>
        <w:pStyle w:val="ListBullet"/>
      </w:pPr>
      <w:r>
        <w:t>Mental health treatment or therapy</w:t>
      </w:r>
    </w:p>
    <w:p>
      <w:pPr>
        <w:pStyle w:val="ListBullet"/>
      </w:pPr>
      <w:r>
        <w:t>Crisis intervention or emergency services</w:t>
      </w:r>
    </w:p>
    <w:p>
      <w:pPr>
        <w:pStyle w:val="ListBullet"/>
      </w:pPr>
      <w:r>
        <w:t>Medical advice or treatment</w:t>
      </w:r>
    </w:p>
    <w:p>
      <w:pPr>
        <w:pStyle w:val="ListBullet"/>
      </w:pPr>
      <w:r>
        <w:t>Psychiatry or psychiatric medication management</w:t>
      </w:r>
    </w:p>
    <w:p>
      <w:pPr>
        <w:pStyle w:val="ListBullet"/>
      </w:pPr>
      <w:r>
        <w:t>Legal advice</w:t>
      </w:r>
    </w:p>
    <w:p>
      <w:pPr>
        <w:pStyle w:val="ListBullet"/>
      </w:pPr>
      <w:r>
        <w:t>Substance use disorder treatment</w:t>
      </w:r>
    </w:p>
    <w:p>
      <w:pPr>
        <w:pStyle w:val="ListBullet"/>
      </w:pPr>
      <w:r>
        <w:t>Any service requiring state licensure</w:t>
      </w:r>
    </w:p>
    <w:p>
      <w:pPr>
        <w:pStyle w:val="Heading2"/>
      </w:pPr>
      <w:r>
        <w:t>III. FEES FOR SERVICES</w:t>
      </w:r>
    </w:p>
    <w:p>
      <w:r>
        <w:rPr>
          <w:b w:val="0"/>
          <w:i w:val="0"/>
        </w:rPr>
        <w:t>Fees for services are set forth in detail in the Payment Terms Addendum attached to the Third-Party Payor Agreement. Client acknowledges that while a third-party Payor is responsible for payment, Client understands and agrees to the service rates and fee structure.</w:t>
      </w:r>
    </w:p>
    <w:p>
      <w:r>
        <w:rPr>
          <w:b/>
        </w:rPr>
        <w:t>Service Rates:</w:t>
      </w:r>
    </w:p>
    <w:tbl>
      <w:tblPr>
        <w:tblW w:type="auto" w:w="0"/>
        <w:jc w:val="center"/>
        <w:tblLook w:firstColumn="1" w:firstRow="1" w:lastColumn="0" w:lastRow="0" w:noHBand="0" w:noVBand="1" w:val="04A0"/>
      </w:tblPr>
      <w:tblGrid>
        <w:gridCol w:w="4680"/>
        <w:gridCol w:w="4680"/>
      </w:tblGrid>
      <w:tr>
        <w:tc>
          <w:tcPr>
            <w:tcW w:type="dxa" w:w="4680"/>
            <w:shd w:fill="1B2A4A" w:color="auto" w:val="clear"/>
          </w:tcPr>
          <w:p>
            <w:r>
              <w:rPr>
                <w:b/>
                <w:color w:val="FFFFFF"/>
                <w:sz w:val="20"/>
              </w:rPr>
              <w:t>Service Type</w:t>
            </w:r>
          </w:p>
        </w:tc>
        <w:tc>
          <w:tcPr>
            <w:tcW w:type="dxa" w:w="4680"/>
            <w:shd w:fill="1B2A4A" w:color="auto" w:val="clear"/>
          </w:tcPr>
          <w:p>
            <w:r>
              <w:rPr>
                <w:b/>
                <w:color w:val="FFFFFF"/>
                <w:sz w:val="20"/>
              </w:rPr>
              <w:t>Rate</w:t>
            </w:r>
          </w:p>
        </w:tc>
      </w:tr>
      <w:tr>
        <w:tc>
          <w:tcPr>
            <w:tcW w:type="dxa" w:w="4680"/>
          </w:tcPr>
          <w:p>
            <w:r>
              <w:rPr>
                <w:sz w:val="20"/>
              </w:rPr>
              <w:t>Virtual/Phone Session</w:t>
            </w:r>
          </w:p>
        </w:tc>
        <w:tc>
          <w:tcPr>
            <w:tcW w:type="dxa" w:w="4680"/>
          </w:tcPr>
          <w:p>
            <w:r>
              <w:rPr>
                <w:sz w:val="20"/>
              </w:rPr>
              <w:t>$200/hr (2 hrs/week min)</w:t>
            </w:r>
          </w:p>
        </w:tc>
      </w:tr>
      <w:tr>
        <w:tc>
          <w:tcPr>
            <w:tcW w:type="dxa" w:w="4680"/>
            <w:shd w:fill="F2F2F2" w:color="auto" w:val="clear"/>
          </w:tcPr>
          <w:p>
            <w:r>
              <w:rPr>
                <w:sz w:val="20"/>
              </w:rPr>
              <w:t>In-Person Session</w:t>
            </w:r>
          </w:p>
        </w:tc>
        <w:tc>
          <w:tcPr>
            <w:tcW w:type="dxa" w:w="4680"/>
            <w:shd w:fill="F2F2F2" w:color="auto" w:val="clear"/>
          </w:tcPr>
          <w:p>
            <w:r>
              <w:rPr>
                <w:sz w:val="20"/>
              </w:rPr>
              <w:t>$225/hr (2 hrs/session min)</w:t>
            </w:r>
          </w:p>
        </w:tc>
      </w:tr>
      <w:tr>
        <w:tc>
          <w:tcPr>
            <w:tcW w:type="dxa" w:w="4680"/>
          </w:tcPr>
          <w:p>
            <w:r>
              <w:rPr>
                <w:sz w:val="20"/>
              </w:rPr>
              <w:t>Communication: Standard Tier</w:t>
            </w:r>
          </w:p>
        </w:tc>
        <w:tc>
          <w:tcPr>
            <w:tcW w:type="dxa" w:w="4680"/>
          </w:tcPr>
          <w:p>
            <w:r>
              <w:rPr>
                <w:sz w:val="20"/>
              </w:rPr>
              <w:t>$1,500/mo (up to 8 hrs)</w:t>
            </w:r>
          </w:p>
        </w:tc>
      </w:tr>
      <w:tr>
        <w:tc>
          <w:tcPr>
            <w:tcW w:type="dxa" w:w="4680"/>
            <w:shd w:fill="F2F2F2" w:color="auto" w:val="clear"/>
          </w:tcPr>
          <w:p>
            <w:r>
              <w:rPr>
                <w:sz w:val="20"/>
              </w:rPr>
              <w:t>Communication: Enhanced Tier</w:t>
            </w:r>
          </w:p>
        </w:tc>
        <w:tc>
          <w:tcPr>
            <w:tcW w:type="dxa" w:w="4680"/>
            <w:shd w:fill="F2F2F2" w:color="auto" w:val="clear"/>
          </w:tcPr>
          <w:p>
            <w:r>
              <w:rPr>
                <w:sz w:val="20"/>
              </w:rPr>
              <w:t>$3,000/mo (up to 25 hrs)</w:t>
            </w:r>
          </w:p>
        </w:tc>
      </w:tr>
      <w:tr>
        <w:tc>
          <w:tcPr>
            <w:tcW w:type="dxa" w:w="4680"/>
          </w:tcPr>
          <w:p>
            <w:r>
              <w:rPr>
                <w:sz w:val="20"/>
              </w:rPr>
              <w:t>Communication: Intensive Tier</w:t>
            </w:r>
          </w:p>
        </w:tc>
        <w:tc>
          <w:tcPr>
            <w:tcW w:type="dxa" w:w="4680"/>
          </w:tcPr>
          <w:p>
            <w:r>
              <w:rPr>
                <w:sz w:val="20"/>
              </w:rPr>
              <w:t>$4,500/mo (up to 40 hrs)</w:t>
            </w:r>
          </w:p>
        </w:tc>
      </w:tr>
      <w:tr>
        <w:tc>
          <w:tcPr>
            <w:tcW w:type="dxa" w:w="4680"/>
            <w:shd w:fill="F2F2F2" w:color="auto" w:val="clear"/>
          </w:tcPr>
          <w:p>
            <w:r>
              <w:rPr>
                <w:sz w:val="20"/>
              </w:rPr>
              <w:t>Communication: Premium Tier</w:t>
            </w:r>
          </w:p>
        </w:tc>
        <w:tc>
          <w:tcPr>
            <w:tcW w:type="dxa" w:w="4680"/>
            <w:shd w:fill="F2F2F2" w:color="auto" w:val="clear"/>
          </w:tcPr>
          <w:p>
            <w:r>
              <w:rPr>
                <w:sz w:val="20"/>
              </w:rPr>
              <w:t>$9,000/mo (unlimited)</w:t>
            </w:r>
          </w:p>
        </w:tc>
      </w:tr>
      <w:tr>
        <w:tc>
          <w:tcPr>
            <w:tcW w:type="dxa" w:w="4680"/>
          </w:tcPr>
          <w:p>
            <w:r>
              <w:rPr>
                <w:sz w:val="20"/>
              </w:rPr>
              <w:t>Communication: Overage</w:t>
            </w:r>
          </w:p>
        </w:tc>
        <w:tc>
          <w:tcPr>
            <w:tcW w:type="dxa" w:w="4680"/>
          </w:tcPr>
          <w:p>
            <w:r>
              <w:rPr>
                <w:sz w:val="20"/>
              </w:rPr>
              <w:t>$150/hr (15-min increments)</w:t>
            </w:r>
          </w:p>
        </w:tc>
      </w:tr>
      <w:tr>
        <w:tc>
          <w:tcPr>
            <w:tcW w:type="dxa" w:w="4680"/>
            <w:shd w:fill="F2F2F2" w:color="auto" w:val="clear"/>
          </w:tcPr>
          <w:p>
            <w:r>
              <w:rPr>
                <w:sz w:val="20"/>
              </w:rPr>
              <w:t>Initial Retainer</w:t>
            </w:r>
          </w:p>
        </w:tc>
        <w:tc>
          <w:tcPr>
            <w:tcW w:type="dxa" w:w="4680"/>
            <w:shd w:fill="F2F2F2" w:color="auto" w:val="clear"/>
          </w:tcPr>
          <w:p>
            <w:r>
              <w:rPr>
                <w:sz w:val="20"/>
              </w:rPr>
              <w:t>$2,500 one-time (credited toward sessions)</w:t>
            </w:r>
          </w:p>
        </w:tc>
      </w:tr>
    </w:tbl>
    <w:p>
      <w:r>
        <w:rPr>
          <w:b/>
        </w:rPr>
        <w:t>Communication Support Tier Descriptions:</w:t>
      </w:r>
    </w:p>
    <w:p>
      <w:r>
        <w:rPr>
          <w:b/>
        </w:rPr>
        <w:t>Standard Tier ($1,500/mo, 8 hrs):</w:t>
      </w:r>
    </w:p>
    <w:p>
      <w:r>
        <w:rPr>
          <w:b w:val="0"/>
          <w:i w:val="0"/>
        </w:rPr>
        <w:t>Recommended for stable, self-motivated clients requiring light-touch support. Includes periodic check-in texts and calls (a few per week), basic scheduling coordination, and minimal external team communication such as occasional updates to a therapist or psychiatrist.</w:t>
      </w:r>
    </w:p>
    <w:p>
      <w:r>
        <w:rPr>
          <w:b/>
        </w:rPr>
        <w:t>Enhanced Tier ($3,000/mo, 25 hrs):</w:t>
      </w:r>
    </w:p>
    <w:p>
      <w:r>
        <w:rPr>
          <w:b w:val="0"/>
          <w:i w:val="0"/>
        </w:rPr>
        <w:t>Recommended for clients requiring regular engagement and moderate care coordination. Includes daily or near-daily check-ins, multiple phone calls per week, ongoing coordination with 2–3 external providers (therapist, psychiatrist, housing), family communication (with ROI), appointment reminders, and proactive accountability outreach.</w:t>
      </w:r>
    </w:p>
    <w:p>
      <w:r>
        <w:rPr>
          <w:b/>
        </w:rPr>
        <w:t>Intensive Tier ($4,500/mo, 40 hrs):</w:t>
      </w:r>
    </w:p>
    <w:p>
      <w:r>
        <w:rPr>
          <w:b w:val="0"/>
          <w:i w:val="0"/>
        </w:rPr>
        <w:t>Recommended for high-touch clients in active transition or crisis-adjacent situations. Includes extended daily texting and phone calls, multi-party coordination across 4–6+ providers (clinical team, housing, family, legal), crisis-adjacent support with rapid response, frequent family/payor updates (with ROI), and same-day response expectations.</w:t>
      </w:r>
    </w:p>
    <w:p>
      <w:r>
        <w:rPr>
          <w:b/>
        </w:rPr>
        <w:t>Premium Tier ($9,000/mo, unlimited):</w:t>
      </w:r>
    </w:p>
    <w:p>
      <w:r>
        <w:rPr>
          <w:b w:val="0"/>
          <w:i w:val="0"/>
        </w:rPr>
        <w:t>Recommended for clients requiring comprehensive, around-the-clock communication support. Includes all Intensive Tier services with no hourly cap, priority response at all hours, and continuous multi-system coordination. Designed for clients in acute transition, early recovery, or situations requiring sustained daily engagement across multiple parties.</w:t>
      </w:r>
    </w:p>
    <w:p>
      <w:r>
        <w:rPr>
          <w:b/>
        </w:rPr>
        <w:t>Travel Support &amp; Accompaniment:</w:t>
      </w:r>
    </w:p>
    <w:p>
      <w:r>
        <w:rPr>
          <w:b w:val="0"/>
          <w:i w:val="0"/>
        </w:rPr>
        <w:t>24-Hour Travel Rate: $4,500/day (full day availability)</w:t>
      </w:r>
    </w:p>
    <w:p>
      <w:r>
        <w:rPr>
          <w:b w:val="0"/>
          <w:i w:val="0"/>
        </w:rPr>
        <w:t>Travel Overage: $150/hr for hours beyond contracted daily rate</w:t>
      </w:r>
    </w:p>
    <w:p>
      <w:r>
        <w:rPr>
          <w:b w:val="0"/>
          <w:i w:val="0"/>
        </w:rPr>
        <w:t>Travel Deposit: 50% of total trip cost required at booking</w:t>
      </w:r>
    </w:p>
    <w:p>
      <w:r>
        <w:rPr>
          <w:b/>
        </w:rPr>
        <w:t>Travel Cancellation Schedule:</w:t>
      </w:r>
    </w:p>
    <w:tbl>
      <w:tblPr>
        <w:tblW w:type="auto" w:w="0"/>
        <w:jc w:val="center"/>
        <w:tblLook w:firstColumn="1" w:firstRow="1" w:lastColumn="0" w:lastRow="0" w:noHBand="0" w:noVBand="1" w:val="04A0"/>
      </w:tblPr>
      <w:tblGrid>
        <w:gridCol w:w="3120"/>
        <w:gridCol w:w="3120"/>
        <w:gridCol w:w="3120"/>
      </w:tblGrid>
      <w:tr>
        <w:tc>
          <w:tcPr>
            <w:tcW w:type="dxa" w:w="3120"/>
            <w:shd w:fill="1B2A4A" w:color="auto" w:val="clear"/>
          </w:tcPr>
          <w:p>
            <w:r>
              <w:rPr>
                <w:b/>
                <w:color w:val="FFFFFF"/>
                <w:sz w:val="20"/>
              </w:rPr>
              <w:t>Trip Duration</w:t>
            </w:r>
          </w:p>
        </w:tc>
        <w:tc>
          <w:tcPr>
            <w:tcW w:type="dxa" w:w="3120"/>
            <w:shd w:fill="1B2A4A" w:color="auto" w:val="clear"/>
          </w:tcPr>
          <w:p>
            <w:r>
              <w:rPr>
                <w:b/>
                <w:color w:val="FFFFFF"/>
                <w:sz w:val="20"/>
              </w:rPr>
              <w:t>Required Notice</w:t>
            </w:r>
          </w:p>
        </w:tc>
        <w:tc>
          <w:tcPr>
            <w:tcW w:type="dxa" w:w="3120"/>
            <w:shd w:fill="1B2A4A" w:color="auto" w:val="clear"/>
          </w:tcPr>
          <w:p>
            <w:r>
              <w:rPr>
                <w:b/>
                <w:color w:val="FFFFFF"/>
                <w:sz w:val="20"/>
              </w:rPr>
              <w:t>Deposit</w:t>
            </w:r>
          </w:p>
        </w:tc>
      </w:tr>
      <w:tr>
        <w:tc>
          <w:tcPr>
            <w:tcW w:type="dxa" w:w="3120"/>
          </w:tcPr>
          <w:p>
            <w:r>
              <w:rPr>
                <w:sz w:val="20"/>
              </w:rPr>
              <w:t>Short (1–3 days)</w:t>
            </w:r>
          </w:p>
        </w:tc>
        <w:tc>
          <w:tcPr>
            <w:tcW w:type="dxa" w:w="3120"/>
          </w:tcPr>
          <w:p>
            <w:r>
              <w:rPr>
                <w:sz w:val="20"/>
              </w:rPr>
              <w:t>72 hours</w:t>
            </w:r>
          </w:p>
        </w:tc>
        <w:tc>
          <w:tcPr>
            <w:tcW w:type="dxa" w:w="3120"/>
          </w:tcPr>
          <w:p>
            <w:r>
              <w:rPr>
                <w:sz w:val="20"/>
              </w:rPr>
              <w:t>50% of total trip cost</w:t>
            </w:r>
          </w:p>
        </w:tc>
      </w:tr>
      <w:tr>
        <w:tc>
          <w:tcPr>
            <w:tcW w:type="dxa" w:w="3120"/>
            <w:shd w:fill="F2F2F2" w:color="auto" w:val="clear"/>
          </w:tcPr>
          <w:p>
            <w:r>
              <w:rPr>
                <w:sz w:val="20"/>
              </w:rPr>
              <w:t>Medium (4–7 days)</w:t>
            </w:r>
          </w:p>
        </w:tc>
        <w:tc>
          <w:tcPr>
            <w:tcW w:type="dxa" w:w="3120"/>
            <w:shd w:fill="F2F2F2" w:color="auto" w:val="clear"/>
          </w:tcPr>
          <w:p>
            <w:r>
              <w:rPr>
                <w:sz w:val="20"/>
              </w:rPr>
              <w:t>14 days</w:t>
            </w:r>
          </w:p>
        </w:tc>
        <w:tc>
          <w:tcPr>
            <w:tcW w:type="dxa" w:w="3120"/>
            <w:shd w:fill="F2F2F2" w:color="auto" w:val="clear"/>
          </w:tcPr>
          <w:p>
            <w:r>
              <w:rPr>
                <w:sz w:val="20"/>
              </w:rPr>
              <w:t>50% of total trip cost</w:t>
            </w:r>
          </w:p>
        </w:tc>
      </w:tr>
      <w:tr>
        <w:tc>
          <w:tcPr>
            <w:tcW w:type="dxa" w:w="3120"/>
          </w:tcPr>
          <w:p>
            <w:r>
              <w:rPr>
                <w:sz w:val="20"/>
              </w:rPr>
              <w:t>Extended (8+ days)</w:t>
            </w:r>
          </w:p>
        </w:tc>
        <w:tc>
          <w:tcPr>
            <w:tcW w:type="dxa" w:w="3120"/>
          </w:tcPr>
          <w:p>
            <w:r>
              <w:rPr>
                <w:sz w:val="20"/>
              </w:rPr>
              <w:t>21 days</w:t>
            </w:r>
          </w:p>
        </w:tc>
        <w:tc>
          <w:tcPr>
            <w:tcW w:type="dxa" w:w="3120"/>
          </w:tcPr>
          <w:p>
            <w:r>
              <w:rPr>
                <w:sz w:val="20"/>
              </w:rPr>
              <w:t>50% of total trip cost</w:t>
            </w:r>
          </w:p>
        </w:tc>
      </w:tr>
    </w:tbl>
    <w:p>
      <w:r>
        <w:rPr>
          <w:b/>
        </w:rPr>
        <w:t>Cancellation Terms:</w:t>
      </w:r>
    </w:p>
    <w:p>
      <w:pPr>
        <w:pStyle w:val="ListBullet"/>
      </w:pPr>
      <w:r>
        <w:t>Timely Cancellation: Deposit refunded minus non-recoverable expenses (airfare, prepaid lodging).</w:t>
      </w:r>
    </w:p>
    <w:p>
      <w:pPr>
        <w:pStyle w:val="ListBullet"/>
      </w:pPr>
      <w:r>
        <w:t>Late Cancellation: Forfeit deposit and owe 50% of remaining balance.</w:t>
      </w:r>
    </w:p>
    <w:p>
      <w:pPr>
        <w:pStyle w:val="ListBullet"/>
      </w:pPr>
      <w:r>
        <w:t>Non-refundable Expenses: Incurred regardless of cancellation timing.</w:t>
      </w:r>
    </w:p>
    <w:p>
      <w:r>
        <w:rPr>
          <w:b/>
        </w:rPr>
        <w:t>Early Termination of Travel:</w:t>
      </w:r>
    </w:p>
    <w:p>
      <w:pPr>
        <w:pStyle w:val="ListBullet"/>
      </w:pPr>
      <w:r>
        <w:t>Full payment through date of termination.</w:t>
      </w:r>
    </w:p>
    <w:p>
      <w:pPr>
        <w:pStyle w:val="ListBullet"/>
      </w:pPr>
      <w:r>
        <w:t>50% of daily rate for each remaining scheduled day.</w:t>
      </w:r>
    </w:p>
    <w:p>
      <w:pPr>
        <w:pStyle w:val="ListBullet"/>
      </w:pPr>
      <w:r>
        <w:t>All non-refundable travel expenses.</w:t>
      </w:r>
    </w:p>
    <w:p>
      <w:pPr>
        <w:pStyle w:val="ListBullet"/>
      </w:pPr>
      <w:r>
        <w:t>Return travel costs for Provider.</w:t>
      </w:r>
    </w:p>
    <w:p>
      <w:r>
        <w:rPr>
          <w:b/>
        </w:rPr>
        <w:t>Payment Responsibility and Payor Discontinuation:</w:t>
      </w:r>
    </w:p>
    <w:p>
      <w:r>
        <w:rPr>
          <w:b w:val="0"/>
          <w:i w:val="0"/>
        </w:rPr>
        <w:t>In the event the Payor discontinues payment or the Third-Party Payor Agreement is terminated, Client may elect to continue services by assuming direct financial responsibility under a separate self-pay agreement. Provider is under no obligation to continue services without confirmed payment arrangements.</w:t>
      </w:r>
    </w:p>
    <w:p>
      <w:pPr>
        <w:pStyle w:val="Heading2"/>
      </w:pPr>
      <w:r>
        <w:t>IV. CONFIDENTIALITY AND RELEASE OF INFORMATION</w:t>
      </w:r>
    </w:p>
    <w:p>
      <w:r>
        <w:rPr>
          <w:b w:val="0"/>
          <w:i w:val="0"/>
        </w:rPr>
        <w:t>Provider maintains strict confidentiality of all client information in accordance with applicable laws and professional standards.</w:t>
      </w:r>
    </w:p>
    <w:p>
      <w:r>
        <w:rPr>
          <w:b/>
        </w:rPr>
        <w:t>4.1 Standard Confidentiality:</w:t>
      </w:r>
    </w:p>
    <w:p>
      <w:r>
        <w:rPr>
          <w:b w:val="0"/>
          <w:i w:val="0"/>
        </w:rPr>
        <w:t>Information shared with Provider is confidential and will not be disclosed to third parties without Client’s written consent, except as required by law.</w:t>
      </w:r>
    </w:p>
    <w:p>
      <w:r>
        <w:rPr>
          <w:b/>
        </w:rPr>
        <w:t>4.2 Release of Information (ROI):</w:t>
      </w:r>
    </w:p>
    <w:p>
      <w:r>
        <w:rPr>
          <w:b w:val="0"/>
          <w:i w:val="0"/>
        </w:rPr>
        <w:t>To communicate with the Payor, external providers, or family members, Provider requires a signed Release of Information (ROI). Client understands that in payor-funded arrangements, Provider’s ability to provide services may be contingent upon an active ROI that permits communication with the Payor for logistics and payment coordination. If the ROI is revoked, expires, or is materially restricted, services may be suspended or terminated.</w:t>
      </w:r>
    </w:p>
    <w:p>
      <w:r>
        <w:rPr>
          <w:b/>
        </w:rPr>
        <w:t>4.3 Mandated Reporting:</w:t>
      </w:r>
    </w:p>
    <w:p>
      <w:r>
        <w:rPr>
          <w:b w:val="0"/>
          <w:i w:val="0"/>
        </w:rPr>
        <w:t>Provider is required by law to report suspected abuse, neglect, or danger to self/others, regardless of confidentiality.</w:t>
      </w:r>
    </w:p>
    <w:p>
      <w:pPr>
        <w:pStyle w:val="Heading2"/>
      </w:pPr>
      <w:r>
        <w:t>V. CLIENT RESPONSIBILITIES</w:t>
      </w:r>
    </w:p>
    <w:p>
      <w:pPr>
        <w:pStyle w:val="ListBullet"/>
      </w:pPr>
      <w:r>
        <w:t>Maintain agreed-upon communication channels.</w:t>
      </w:r>
    </w:p>
    <w:p>
      <w:pPr>
        <w:pStyle w:val="ListBullet"/>
      </w:pPr>
      <w:r>
        <w:t>Provide timely payment or ensure Payor provides payment on schedule.</w:t>
      </w:r>
    </w:p>
    <w:p>
      <w:pPr>
        <w:pStyle w:val="ListBullet"/>
      </w:pPr>
      <w:r>
        <w:t>Communicate clearly about needs, preferences, and concerns.</w:t>
      </w:r>
    </w:p>
    <w:p>
      <w:pPr>
        <w:pStyle w:val="ListBullet"/>
      </w:pPr>
      <w:r>
        <w:t>Respect Provider’s availability and scheduling boundaries.</w:t>
      </w:r>
    </w:p>
    <w:p>
      <w:pPr>
        <w:pStyle w:val="ListBullet"/>
      </w:pPr>
      <w:r>
        <w:t>Provide accurate, updated information for emergency and contact purposes.</w:t>
      </w:r>
    </w:p>
    <w:p>
      <w:pPr>
        <w:pStyle w:val="Heading2"/>
      </w:pPr>
      <w:r>
        <w:t>VI. LIMITATION OF LIABILITY</w:t>
      </w:r>
    </w:p>
    <w:p>
      <w:r>
        <w:rPr>
          <w:b w:val="0"/>
          <w:i w:val="0"/>
        </w:rPr>
        <w:t>Provider offers wellness support, not clinical treatment. Provider is not responsible for outcomes, therapeutic results, or complications arising from Client’s personal circumstances, decisions, or underlying conditions. Services are supportive in nature and do not replace medical, psychiatric, or therapeutic care.</w:t>
      </w:r>
    </w:p>
    <w:p>
      <w:pPr>
        <w:pStyle w:val="Heading2"/>
      </w:pPr>
      <w:r>
        <w:t>VII. ASSUMPTION OF RISK</w:t>
      </w:r>
    </w:p>
    <w:p>
      <w:r>
        <w:rPr>
          <w:b w:val="0"/>
          <w:i w:val="0"/>
        </w:rPr>
        <w:t>Client assumes all risks associated with non-clinical support services. Client acknowledges that Provider is not a licensed mental health professional, physician, or medical provider.</w:t>
      </w:r>
    </w:p>
    <w:p>
      <w:pPr>
        <w:pStyle w:val="Heading2"/>
      </w:pPr>
      <w:r>
        <w:t>VIII. DISPUTE RESOLUTION</w:t>
      </w:r>
    </w:p>
    <w:p>
      <w:r>
        <w:rPr>
          <w:b/>
        </w:rPr>
        <w:t>8.1 Mediation:</w:t>
      </w:r>
    </w:p>
    <w:p>
      <w:r>
        <w:rPr>
          <w:b w:val="0"/>
          <w:i w:val="0"/>
        </w:rPr>
        <w:t>Any dispute shall first be submitted to non-binding mediation in Los Angeles County before pursuing legal action.</w:t>
      </w:r>
    </w:p>
    <w:p>
      <w:r>
        <w:rPr>
          <w:b/>
        </w:rPr>
        <w:t>8.2 Binding Arbitration:</w:t>
      </w:r>
    </w:p>
    <w:p>
      <w:r>
        <w:rPr>
          <w:b w:val="0"/>
          <w:i w:val="0"/>
        </w:rPr>
        <w:t>If mediation fails, Client and Provider agree to binding arbitration under California law, waiving the right to jury trial.</w:t>
      </w:r>
    </w:p>
    <w:p>
      <w:r>
        <w:rPr>
          <w:b/>
          <w:sz w:val="20"/>
        </w:rPr>
        <w:t>BY AGREEING TO ARBITRATION, CLIENT WAIVES THE RIGHT TO A JURY TRIAL.</w:t>
      </w:r>
    </w:p>
    <w:p>
      <w:r>
        <w:rPr>
          <w:b/>
        </w:rPr>
        <w:t>8.3 Governing Law:</w:t>
      </w:r>
    </w:p>
    <w:p>
      <w:r>
        <w:rPr>
          <w:b w:val="0"/>
          <w:i w:val="0"/>
        </w:rPr>
        <w:t>This Agreement shall be governed by and construed in accordance with the laws of the State of California.</w:t>
      </w:r>
    </w:p>
    <w:p>
      <w:pPr>
        <w:pStyle w:val="Heading2"/>
      </w:pPr>
      <w:r>
        <w:t>IX. TERMINATION</w:t>
      </w:r>
    </w:p>
    <w:p>
      <w:r>
        <w:rPr>
          <w:b/>
        </w:rPr>
        <w:t>IX.1 Termination by Client</w:t>
      </w:r>
    </w:p>
    <w:p>
      <w:r>
        <w:rPr>
          <w:b w:val="0"/>
          <w:i w:val="0"/>
        </w:rPr>
        <w:t>Client may terminate this Agreement by providing fourteen (14) days prior written notice to Provider. Client remains responsible for ensuring payment of all services rendered through the effective date of termination.</w:t>
      </w:r>
    </w:p>
    <w:p>
      <w:r>
        <w:rPr>
          <w:b/>
        </w:rPr>
        <w:t>IX.2 Termination by Provider</w:t>
      </w:r>
    </w:p>
    <w:p>
      <w:r>
        <w:rPr>
          <w:b w:val="0"/>
          <w:i w:val="0"/>
        </w:rPr>
        <w:t>Provider may terminate this Agreement by providing thirty (30) days prior written notice to the Client and, where applicable, the Third-Party Payor. Provider may terminate immediately, without prior notice, under the following circumstances:</w:t>
      </w:r>
    </w:p>
    <w:p>
      <w:pPr>
        <w:pStyle w:val="ListBullet"/>
      </w:pPr>
      <w:r>
        <w:t>Client engages in conduct that threatens the safety of Provider or others</w:t>
      </w:r>
    </w:p>
    <w:p>
      <w:pPr>
        <w:pStyle w:val="ListBullet"/>
      </w:pPr>
      <w:r>
        <w:t>Non-payment for thirty (30) days beyond invoice due date</w:t>
      </w:r>
    </w:p>
    <w:p>
      <w:pPr>
        <w:pStyle w:val="ListBullet"/>
      </w:pPr>
      <w:r>
        <w:t>Client materially breaches this Agreement</w:t>
      </w:r>
    </w:p>
    <w:p>
      <w:pPr>
        <w:pStyle w:val="ListBullet"/>
      </w:pPr>
      <w:r>
        <w:t>Payor interference with Client’s care or Provider’s professional judgement</w:t>
      </w:r>
    </w:p>
    <w:p>
      <w:pPr>
        <w:pStyle w:val="ListBullet"/>
      </w:pPr>
      <w:r>
        <w:t>In payor-funded arrangements, if the ROI is revoked and Payor discontinues payment</w:t>
      </w:r>
    </w:p>
    <w:p>
      <w:r>
        <w:rPr>
          <w:b/>
        </w:rPr>
        <w:t>IX.3 Termination by Third-Party Payor</w:t>
      </w:r>
    </w:p>
    <w:p>
      <w:r>
        <w:rPr>
          <w:b w:val="0"/>
          <w:i w:val="0"/>
        </w:rPr>
        <w:t>Where a Third-Party Payor is funding services, the Payor may terminate funding by providing thirty (30) days prior written notice to Provider. Upon receipt of such notice, Provider will notify the Client within two (2) business days and will provide no less than fourteen (14) days of transition support. The cost of transition support shall be the responsibility of the Payor unless otherwise agreed in writing. Client may elect to continue services by assuming direct financial responsibility under a separate self-pay agreement.</w:t>
      </w:r>
    </w:p>
    <w:p>
      <w:r>
        <w:rPr>
          <w:b/>
        </w:rPr>
        <w:t>IX.4 Effect of Termination</w:t>
      </w:r>
    </w:p>
    <w:p>
      <w:r>
        <w:rPr>
          <w:b w:val="0"/>
          <w:i w:val="0"/>
        </w:rPr>
        <w:t>Upon termination, all payment obligations for services already rendered remain in effect. Provider will provide a written closure summary and, where appropriate, referrals to alternative services. Provisions regarding confidentiality, limitation of liability, and dispute resolution survive termination.</w:t>
      </w:r>
    </w:p>
    <w:p>
      <w:r>
        <w:rPr>
          <w:b/>
        </w:rPr>
        <w:t>IX.5 Written Notice</w:t>
      </w:r>
    </w:p>
    <w:p>
      <w:r>
        <w:rPr>
          <w:b w:val="0"/>
          <w:i w:val="0"/>
        </w:rPr>
        <w:t>All notices of termination must be in writing. Email to the address on file constitutes valid written notice.</w:t>
      </w:r>
    </w:p>
    <w:p>
      <w:pPr>
        <w:pStyle w:val="Heading2"/>
      </w:pPr>
      <w:r>
        <w:t>X. GENERAL PROVISIONS</w:t>
      </w:r>
    </w:p>
    <w:p>
      <w:r>
        <w:rPr>
          <w:b/>
        </w:rPr>
        <w:t>10.1 Entire Agreement:</w:t>
      </w:r>
    </w:p>
    <w:p>
      <w:r>
        <w:rPr>
          <w:b w:val="0"/>
          <w:i w:val="0"/>
        </w:rPr>
        <w:t>This Agreement, together with the Payment Terms Addendum and Third-Party Payor Agreement (if applicable), constitutes the entire agreement between the parties.</w:t>
      </w:r>
    </w:p>
    <w:p>
      <w:r>
        <w:rPr>
          <w:b/>
        </w:rPr>
        <w:t>10.2 Amendments:</w:t>
      </w:r>
    </w:p>
    <w:p>
      <w:r>
        <w:rPr>
          <w:b w:val="0"/>
          <w:i w:val="0"/>
        </w:rPr>
        <w:t>Amendments must be in writing and signed by both parties.</w:t>
      </w:r>
    </w:p>
    <w:p>
      <w:r>
        <w:rPr>
          <w:b/>
        </w:rPr>
        <w:t>10.3 Severability:</w:t>
      </w:r>
    </w:p>
    <w:p>
      <w:r>
        <w:rPr>
          <w:b w:val="0"/>
          <w:i w:val="0"/>
        </w:rPr>
        <w:t>If any provision is found invalid, remaining provisions remain in effect.</w:t>
      </w:r>
    </w:p>
    <w:p>
      <w:pPr>
        <w:pStyle w:val="Heading2"/>
      </w:pPr>
      <w:r>
        <w:t>XI. EMERGENCY CONTACT AND CRISIS RESOURCES</w:t>
      </w:r>
    </w:p>
    <w:p>
      <w:r>
        <w:rPr>
          <w:b w:val="0"/>
          <w:i w:val="0"/>
        </w:rPr>
        <w:t>In mental health crisis or suicidal ideation:</w:t>
      </w:r>
    </w:p>
    <w:p>
      <w:pPr>
        <w:pStyle w:val="ListBullet"/>
      </w:pPr>
      <w:r>
        <w:t>National Suicide Prevention Lifeline: 988</w:t>
      </w:r>
    </w:p>
    <w:p>
      <w:pPr>
        <w:pStyle w:val="ListBullet"/>
      </w:pPr>
      <w:r>
        <w:t>Crisis Text Line: Text HOME to 741741</w:t>
      </w:r>
    </w:p>
    <w:p>
      <w:pPr>
        <w:pStyle w:val="ListBullet"/>
      </w:pPr>
      <w:r>
        <w:t>Emergency Services: 911</w:t>
      </w:r>
    </w:p>
    <w:p>
      <w:r>
        <w:rPr>
          <w:b/>
          <w:sz w:val="20"/>
        </w:rPr>
        <w:t>IMPORTANT: Provider is not a crisis intervention service. For psychiatric emergency, suicidal ideation, or immediate danger, contact emergency services (911), a hospital emergency room, or call 988 (Suicide &amp; Crisis Lifeline) immediately. Provider is available for non-emergency support only.</w:t>
      </w:r>
    </w:p>
    <w:p>
      <w:pPr>
        <w:pStyle w:val="Heading2"/>
      </w:pPr>
      <w:r>
        <w:t>XII. ACKNOWLEDGMENT</w:t>
      </w:r>
    </w:p>
    <w:p>
      <w:r>
        <w:rPr>
          <w:b w:val="0"/>
          <w:i w:val="0"/>
        </w:rPr>
        <w:t>I have read and understand this agreement:</w:t>
      </w:r>
    </w:p>
    <w:p>
      <w:pPr>
        <w:pStyle w:val="ListBullet"/>
      </w:pPr>
      <w:r>
        <w:t>Avina Wellness LLC provides non-clinical wellness support.</w:t>
      </w:r>
    </w:p>
    <w:p>
      <w:pPr>
        <w:pStyle w:val="ListBullet"/>
      </w:pPr>
      <w:r>
        <w:t>Services are supportive, not clinical mental health treatment.</w:t>
      </w:r>
    </w:p>
    <w:p>
      <w:pPr>
        <w:pStyle w:val="ListBullet"/>
      </w:pPr>
      <w:r>
        <w:t>I understand the fee schedule and payment responsibility.</w:t>
      </w:r>
    </w:p>
    <w:p>
      <w:pPr>
        <w:pStyle w:val="ListBullet"/>
      </w:pPr>
      <w:r>
        <w:t>Either party may terminate with written notice per Section IX.</w:t>
      </w:r>
    </w:p>
    <w:p>
      <w:pPr>
        <w:pStyle w:val="ListBullet"/>
      </w:pPr>
      <w:r>
        <w:t>I have the right to terminate at any time with 14 days notice.</w:t>
      </w:r>
    </w:p>
    <w:p>
      <w:pPr>
        <w:pStyle w:val="ListBullet"/>
      </w:pPr>
      <w:r>
        <w:t>I understand my information is confidential.</w:t>
      </w:r>
    </w:p>
    <w:p>
      <w:pPr>
        <w:pStyle w:val="ListBullet"/>
      </w:pPr>
      <w:r>
        <w:t>A third-party Payor’s payment does not grant them authority over my care.</w:t>
      </w:r>
    </w:p>
    <w:p/>
    <w:p>
      <w:r>
        <w:rPr>
          <w:b/>
        </w:rPr>
        <w:t>CLIENT:</w:t>
      </w:r>
    </w:p>
    <w:p>
      <w:r>
        <w:rPr>
          <w:b w:val="0"/>
          <w:i w:val="0"/>
        </w:rPr>
        <w:t>Signature: _________________________________________</w:t>
      </w:r>
    </w:p>
    <w:p>
      <w:r>
        <w:rPr>
          <w:b w:val="0"/>
          <w:i w:val="0"/>
        </w:rPr>
        <w:t>Printed Name: _________________________________________</w:t>
      </w:r>
    </w:p>
    <w:p>
      <w:r>
        <w:rPr>
          <w:b w:val="0"/>
          <w:i w:val="0"/>
        </w:rPr>
        <w:t>Date: _________________</w:t>
      </w:r>
    </w:p>
    <w:p/>
    <w:p>
      <w:r>
        <w:rPr>
          <w:b/>
        </w:rPr>
        <w:t>PROVIDER:</w:t>
      </w:r>
    </w:p>
    <w:p>
      <w:r>
        <w:rPr>
          <w:b w:val="0"/>
          <w:i w:val="0"/>
        </w:rPr>
        <w:t>Signature: _________________________________________</w:t>
      </w:r>
    </w:p>
    <w:p>
      <w:r>
        <w:rPr>
          <w:b w:val="0"/>
          <w:i w:val="0"/>
        </w:rPr>
        <w:t>Printed Name: Kelly Mortazavi</w:t>
      </w:r>
    </w:p>
    <w:p>
      <w:r>
        <w:rPr>
          <w:b w:val="0"/>
          <w:i w:val="0"/>
        </w:rPr>
        <w:t>Title: Owner, Avina Wellness LLC</w:t>
      </w:r>
    </w:p>
    <w:p>
      <w:r>
        <w:rPr>
          <w:b w:val="0"/>
          <w:i w:val="0"/>
        </w:rPr>
        <w:t>Date: _________________</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3333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1B2A4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1B2A4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B2A4A"/>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